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Checklist de Seleção de Inquilino</w:t>
      </w:r>
    </w:p>
    <w:p>
      <w:pPr>
        <w:spacing w:after="260"/>
        <w:jc w:val="center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Guia prático para avaliar candidatos ao arrendamento de forma organizada e não discriminatória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Identificação do processo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200"/>
      </w:tblGrid>
      <w:tr>
        <w:trPr>
          <w:tblHeader/>
        </w:trPr>
        <w:tc>
          <w:tcPr>
            <w:tcW w:type="dxa" w:w="28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Campo</w:t>
            </w:r>
          </w:p>
        </w:tc>
        <w:tc>
          <w:tcPr>
            <w:tcW w:type="dxa" w:w="62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Preenchimento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Imóvel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[MORADA DO IMÓVEL]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Renda pedida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 DA RENDA] euros por mês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Candidato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[NOME DO CANDIDATO]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Data da candidatura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</w:tr>
      <w:tr>
        <w:tc>
          <w:tcPr>
            <w:tcW w:type="dxa" w:w="28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Analisado por</w:t>
            </w:r>
          </w:p>
        </w:tc>
        <w:tc>
          <w:tcPr>
            <w:tcW w:type="dxa" w:w="6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[NOME DO RESPONSÁVEL]</w:t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1. Documentos a pedir ao candidato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Documento de identificação válido (cartão de cidadão, título de residência ou passaporte).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Número de identificação fiscal (NIF português).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Comprovativo de morada atual.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Últimos três recibos de vencimento ou, no caso de trabalhador independente, os últimos recibos verdes e a declaração de início de atividade.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Contrato de trabalho ou declaração da entidade patronal com indicação do vínculo e da antiguidade.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Última declaração de IRS entregue e respetiva nota de liquidação.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Comprovativo de IBAN e, se possível, extratos bancários dos últimos três meses.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Referências do senhorio anterior, com contacto para confirmação.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No caso de estudantes ou de rendimentos insuficientes: documentação completa do fiador, incluindo identificação, NIF, comprovativos de rendimento e declaração de IRS.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No caso de empresas: certidão permanente, identificação do representante legal e demonstrações financeiras.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2. Taxa de esforço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taxa de esforço mede o peso da renda no rendimento líquido do agregado. A regra prudente é que a renda não ultrapasse um terço do rendimento líquido mensal, ou seja, que o rendimento seja pelo menos três vezes o valor da renda.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3400"/>
      </w:tblGrid>
      <w:tr>
        <w:trPr>
          <w:tblHeader/>
        </w:trPr>
        <w:tc>
          <w:tcPr>
            <w:tcW w:type="dxa" w:w="56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Cálculo</w:t>
            </w:r>
          </w:p>
        </w:tc>
        <w:tc>
          <w:tcPr>
            <w:tcW w:type="dxa" w:w="34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Valor</w:t>
            </w:r>
          </w:p>
        </w:tc>
      </w:tr>
      <w:tr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Rendimento líquido mensal do agregado</w:t>
            </w:r>
          </w:p>
        </w:tc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</w:tr>
      <w:tr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Outros encargos mensais conhecidos (créditos, pensões)</w:t>
            </w:r>
          </w:p>
        </w:tc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</w:tr>
      <w:tr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Rendimento disponível</w:t>
            </w:r>
          </w:p>
        </w:tc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</w:tr>
      <w:tr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Renda mensal pedida</w:t>
            </w:r>
          </w:p>
        </w:tc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[VALOR] euros</w:t>
            </w:r>
          </w:p>
        </w:tc>
      </w:tr>
      <w:tr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Taxa de esforço (renda dividida pelo rendimento líquido)</w:t>
            </w:r>
          </w:p>
        </w:tc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[PERCENTAGEM] %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400"/>
      </w:tblGrid>
      <w:tr>
        <w:trPr>
          <w:tblHeader/>
        </w:trPr>
        <w:tc>
          <w:tcPr>
            <w:tcW w:type="dxa" w:w="26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Taxa de esforço</w:t>
            </w:r>
          </w:p>
        </w:tc>
        <w:tc>
          <w:tcPr>
            <w:tcW w:type="dxa" w:w="64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Leitura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Até 30 %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Confortável. Margem adequada para imprevistos.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Entre 30 % e 35 %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Aceitável. Ponderar garantias adicionais.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Entre 35 % e 40 %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Arriscado. Exigir fiador ou garantia reforçada.</w:t>
            </w:r>
          </w:p>
        </w:tc>
      </w:tr>
      <w:tr>
        <w:tc>
          <w:tcPr>
            <w:tcW w:type="dxa" w:w="2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Acima de 40 %</w:t>
            </w:r>
          </w:p>
        </w:tc>
        <w:tc>
          <w:tcPr>
            <w:tcW w:type="dxa" w:w="6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Elevado risco de incumprimento. Recomenda-se recusar ou exigir garantias sólidas.</w:t>
            </w:r>
          </w:p>
        </w:tc>
      </w:tr>
    </w:tbl>
    <w:p>
      <w:r>
        <w:br w:type="page"/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3. Verificações a fazer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Confirmar que o nome do documento de identificação coincide com o dos recibos de vencimento e do IBAN apresentado.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Confirmar a autenticidade do NIF e da morada fiscal.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Telefonar à entidade patronal para confirmar o vínculo e a antiguidade declarados.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Contactar o senhorio anterior e perguntar: pagava a tempo, cuidava do imóvel, houve conflitos, voltaria a arrendar-lhe.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Verificar a coerência entre os recibos de vencimento, os extratos bancários e a declaração de IRS.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Confirmar quantas pessoas vão efetivamente habitar o imóvel e se o número é adequado à tipologia.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Confirmar a situação do fiador com o mesmo grau de exigência aplicado ao candidato.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Registar por escrito o resultado de cada verificação, com data e fonte.</w:t>
      </w:r>
    </w:p>
    <w:p>
      <w:pPr>
        <w:spacing w:after="90" w:line="275"/>
        <w:ind w:left="340" w:hanging="340"/>
      </w:pPr>
      <w:r>
        <w:rPr>
          <w:rFonts w:ascii="Helvetica Neue" w:cs="Helvetica Neue" w:eastAsia="Helvetica Neue" w:hAnsi="Helvetica Neue"/>
          <w:color w:val="0FA98E"/>
          <w:sz w:val="22"/>
          <w:szCs w:val="22"/>
        </w:rPr>
        <w:t xml:space="preserve">☐  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Ponderar a contratação de um seguro de rendas, sobretudo quando a taxa de esforço é elevada.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4. Sinais de alerta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Recusa em apresentar comprovativos de rendimento ou entrega apenas de documentos parciais.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Pressa excessiva para assinar e insistência em ocupar o imóvel antes da assinatura do contrato.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Proposta de pagar vários meses adiantados em numerário sem justificação plausível.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Documentos com aspeto alterado, sem numeração coerente ou com dados inconsistentes entre si.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Impossibilidade ou recusa de fornecer o contacto do senhorio anterior.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Histórico de mudanças de casa muito frequentes, sem explicação razoável.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Rendimento declarado desproporcionado face à função ou ao setor indicado.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Número de ocupantes que aumenta ao longo da conversa ou que não é claramente assumido.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Contactos telefónicos que nunca atendem ou referências que respondem de forma vaga.</w:t>
      </w:r>
    </w:p>
    <w:p>
      <w:pPr>
        <w:pStyle w:val="ListParagraph"/>
        <w:numPr>
          <w:ilvl w:val="0"/>
          <w:numId w:val="2"/>
        </w:numPr>
        <w:spacing w:after="80" w:line="275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Insistência em não constar do contrato de arrendamento ou em não comunicar o contrato às Finanças.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5. Regras a respeitar na seleção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 escolha do inquilino deve basear-se exclusivamente em critérios objetivos de capacidade financeira, historial de cumprimento e adequação do agregado à tipologia do imóvel. É proibido recusar candidatos com base na origem, nacionalidade, etnia, religião, sexo, orientação sexual, idade, deficiência ou situação familiar. Recolha apenas os dados necessários à decisão, guarde-os de forma segura e elimine os processos dos candidatos não selecionados assim que a decisão estiver tomada, nos termos do Regulamento Geral sobre a Proteção de Dados.</w:t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6. Decisão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5600"/>
      </w:tblGrid>
      <w:tr>
        <w:trPr>
          <w:tblHeader/>
        </w:trPr>
        <w:tc>
          <w:tcPr>
            <w:tcW w:type="dxa" w:w="34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Campo</w:t>
            </w:r>
          </w:p>
        </w:tc>
        <w:tc>
          <w:tcPr>
            <w:tcW w:type="dxa" w:w="56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Preenchimento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Decisão</w:t>
            </w:r>
          </w:p>
        </w:tc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[APROVADO / APROVADO COM FIADOR / RECUSADO]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Fundamento objetivo da decisão</w:t>
            </w:r>
          </w:p>
        </w:tc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[FUNDAMENTO]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Garantias exigidas</w:t>
            </w:r>
          </w:p>
        </w:tc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[CAUÇÃO, FIADOR, SEGURO DE RENDAS]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Data prevista de início do contrato</w:t>
            </w:r>
          </w:p>
        </w:tc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</w:tr>
      <w:tr>
        <w:tc>
          <w:tcPr>
            <w:tcW w:type="dxa" w:w="34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Data da decisão e responsável</w:t>
            </w:r>
          </w:p>
        </w:tc>
        <w:tc>
          <w:tcPr>
            <w:tcW w:type="dxa" w:w="5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 / [NOME DO RESPONSÁVEL]</w:t>
            </w:r>
          </w:p>
        </w:tc>
      </w:tr>
    </w:tbl>
    <w:p>
      <w:pPr>
        <w:spacing w:after="300"/>
      </w:pPr>
    </w:p>
    <w:p>
      <w:r>
        <w:rPr>
          <w:rFonts w:ascii="Helvetica Neue" w:cs="Helvetica Neue" w:eastAsia="Helvetica Neue" w:hAnsi="Helvetica Neue"/>
          <w:color w:val="6B7280"/>
          <w:sz w:val="21"/>
          <w:szCs w:val="21"/>
        </w:rPr>
        <w:t xml:space="preserve">__________________________________________</w:t>
      </w:r>
    </w:p>
    <w:p>
      <w:pPr>
        <w:spacing w:after="200"/>
      </w:pPr>
      <w:r>
        <w:rPr>
          <w:rFonts w:ascii="Helvetica Neue" w:cs="Helvetica Neue" w:eastAsia="Helvetica Neue" w:hAnsi="Helvetica Neue"/>
          <w:color w:val="6B7280"/>
          <w:sz w:val="18"/>
          <w:szCs w:val="18"/>
        </w:rPr>
        <w:t xml:space="preserve">[NOME DO RESPONSÁVEL], [DATA]</w:t>
      </w:r>
    </w:p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Aplique a mesma checklist a todos os candidatos, pela mesma ordem e com o mesmo grau de exigência. Além de ser a forma mais justa de decidir, é também a melhor defesa caso a decisão venha a ser contestada.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2026-07-20T14:13:16.438Z</dcterms:created>
  <dcterms:modified xsi:type="dcterms:W3CDTF">2026-07-20T14:13:16.438Z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